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vertAnchor="page" w:horzAnchor="margin" w:tblpY="2656"/>
        <w:tblOverlap w:val="never"/>
        <w:tblW w:w="143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9"/>
        <w:gridCol w:w="1424"/>
        <w:gridCol w:w="11168"/>
      </w:tblGrid>
      <w:tr w:rsidR="00A77C4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8496B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7033BF">
            <w:pP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bookmarkStart w:id="0" w:name="_GoBack"/>
            <w:bookmarkEnd w:id="0"/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No.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8496B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7033BF">
            <w:pPr>
              <w:jc w:val="center"/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CONCEPTO</w:t>
            </w: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8496B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7033BF">
            <w:pPr>
              <w:jc w:val="center"/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0"/>
                <w:lang w:val="es-MX"/>
              </w:rPr>
              <w:t>DESCRIPCIÓN</w:t>
            </w:r>
          </w:p>
        </w:tc>
      </w:tr>
      <w:tr w:rsidR="00A77C4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7033BF">
            <w:pPr>
              <w:jc w:val="center"/>
              <w:rPr>
                <w:rFonts w:ascii="Calibri" w:hAnsi="Calibri" w:cs="Arial"/>
                <w:b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sz w:val="28"/>
                <w:szCs w:val="20"/>
                <w:lang w:val="es-MX"/>
              </w:rPr>
              <w:t>FIPRODEFO</w:t>
            </w:r>
          </w:p>
          <w:p w:rsidR="00A77C4B" w:rsidRDefault="007033BF">
            <w:pPr>
              <w:jc w:val="center"/>
              <w:rPr>
                <w:rFonts w:ascii="Calibri" w:hAnsi="Calibri" w:cs="Arial"/>
                <w:b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b/>
                <w:sz w:val="28"/>
                <w:szCs w:val="20"/>
                <w:lang w:val="es-MX"/>
              </w:rPr>
              <w:t>/058/02/2018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7033BF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Lugar</w:t>
            </w: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7033BF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Gomez Farias y CD. Guzman: Huertos semilleros de segunda generación</w:t>
            </w:r>
          </w:p>
        </w:tc>
      </w:tr>
      <w:tr w:rsidR="00A77C4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A77C4B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7033BF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Nombre y cargo</w:t>
            </w: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7033BF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 xml:space="preserve"> Gloria Iñiguez Herrera  Coordinador de Sanidad Forestal </w:t>
            </w:r>
          </w:p>
        </w:tc>
      </w:tr>
      <w:tr w:rsidR="00A77C4B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A77C4B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7033BF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Costo</w:t>
            </w: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7033BF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 xml:space="preserve">Alimentos:         $608.00 </w:t>
            </w:r>
          </w:p>
          <w:p w:rsidR="00A77C4B" w:rsidRDefault="007033BF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 xml:space="preserve">Combustible:    </w:t>
            </w:r>
            <w:r>
              <w:rPr>
                <w:rFonts w:ascii="Calibri Light" w:hAnsi="Calibri Light" w:cs="Arial"/>
                <w:szCs w:val="22"/>
              </w:rPr>
              <w:t>$862.59</w:t>
            </w:r>
          </w:p>
          <w:p w:rsidR="00A77C4B" w:rsidRDefault="007033BF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Hospedaje:       $404.00</w:t>
            </w:r>
          </w:p>
          <w:p w:rsidR="00A77C4B" w:rsidRDefault="007033BF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Peajes                $280.00</w:t>
            </w:r>
          </w:p>
          <w:p w:rsidR="00A77C4B" w:rsidRDefault="007033BF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Costo total:       $2,154.59</w:t>
            </w:r>
          </w:p>
          <w:p w:rsidR="00A77C4B" w:rsidRDefault="00A77C4B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</w:tr>
      <w:tr w:rsidR="00A77C4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A77C4B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7033BF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Itinerario</w:t>
            </w: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7033BF">
            <w:pPr>
              <w:jc w:val="both"/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 xml:space="preserve">Salida: Jueves 08 de febrero del 2018 a las 7:30 A.M. del FIPRODEFO </w:t>
            </w:r>
          </w:p>
          <w:p w:rsidR="00A77C4B" w:rsidRDefault="007033BF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Regreso: Viernes 09 de febrero del 2018 a las 20:00 P.M.</w:t>
            </w:r>
          </w:p>
        </w:tc>
      </w:tr>
      <w:tr w:rsidR="00A77C4B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A77C4B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7033BF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Agenda</w:t>
            </w: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7033BF">
            <w:pPr>
              <w:rPr>
                <w:rFonts w:ascii="Calibri Light" w:eastAsia="Calibri Light" w:hAnsi="Calibri Light" w:cs="Calibri Light"/>
                <w:kern w:val="1"/>
                <w:lang w:eastAsia="zh-CN"/>
              </w:rPr>
            </w:pPr>
            <w:r>
              <w:rPr>
                <w:rFonts w:ascii="Calibri Light" w:eastAsia="Calibri Light" w:hAnsi="Calibri Light" w:cs="Calibri Light"/>
                <w:kern w:val="1"/>
                <w:lang w:eastAsia="zh-CN"/>
              </w:rPr>
              <w:t xml:space="preserve">Inspeccion </w:t>
            </w:r>
            <w:r>
              <w:rPr>
                <w:rFonts w:ascii="Calibri Light" w:eastAsia="Calibri Light" w:hAnsi="Calibri Light" w:cs="Calibri Light"/>
                <w:kern w:val="1"/>
                <w:lang w:eastAsia="zh-CN"/>
              </w:rPr>
              <w:t>sanitaria e inventario de huerto semillero de segunda generación en el Predio de La Calera en Gomez Farias.</w:t>
            </w:r>
          </w:p>
        </w:tc>
      </w:tr>
      <w:tr w:rsidR="00A77C4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A77C4B"/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7033BF">
            <w:pPr>
              <w:rPr>
                <w:rFonts w:ascii="Calibri" w:hAnsi="Calibri" w:cs="Arial"/>
                <w:sz w:val="28"/>
                <w:szCs w:val="20"/>
                <w:lang w:val="es-MX"/>
              </w:rPr>
            </w:pPr>
            <w:r>
              <w:rPr>
                <w:rFonts w:ascii="Calibri" w:hAnsi="Calibri" w:cs="Arial"/>
                <w:sz w:val="28"/>
                <w:szCs w:val="20"/>
                <w:lang w:val="es-MX"/>
              </w:rPr>
              <w:t>Resultados</w:t>
            </w: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C4B" w:rsidRDefault="007033BF">
            <w:pPr>
              <w:rPr>
                <w:rFonts w:ascii="Calibri Light" w:eastAsia="Calibri Light" w:hAnsi="Calibri Light" w:cs="Calibri Light"/>
                <w:kern w:val="1"/>
                <w:lang w:eastAsia="zh-CN"/>
              </w:rPr>
            </w:pPr>
            <w:r>
              <w:rPr>
                <w:rFonts w:ascii="Calibri Light" w:eastAsia="Calibri Light" w:hAnsi="Calibri Light" w:cs="Calibri Light"/>
                <w:kern w:val="1"/>
                <w:lang w:eastAsia="zh-CN"/>
              </w:rPr>
              <w:t xml:space="preserve">Se revisaron los poligonos del Predio La Calera enGomez Farias,  que corresponden al los huertos de segunda generación encontrando </w:t>
            </w:r>
            <w:r>
              <w:rPr>
                <w:rFonts w:ascii="Calibri Light" w:eastAsia="Calibri Light" w:hAnsi="Calibri Light" w:cs="Calibri Light"/>
                <w:kern w:val="1"/>
                <w:lang w:eastAsia="zh-CN"/>
              </w:rPr>
              <w:t>principalmente arbolado afectado por ganado, demaciada maleza lo cual lo hace de alto riesgo de incendio daño por fusarium, barrenador de brotes y yemas, esoba de bruja,daño en la base del tronco por roedores.   Nota. se conto con el apoyo de Rafael Garcia</w:t>
            </w:r>
            <w:r>
              <w:rPr>
                <w:rFonts w:ascii="Calibri Light" w:eastAsia="Calibri Light" w:hAnsi="Calibri Light" w:cs="Calibri Light"/>
                <w:kern w:val="1"/>
                <w:lang w:eastAsia="zh-CN"/>
              </w:rPr>
              <w:t xml:space="preserve"> para la ubicacion de los poligonos.</w:t>
            </w:r>
          </w:p>
        </w:tc>
      </w:tr>
    </w:tbl>
    <w:p w:rsidR="00A77C4B" w:rsidRDefault="00A77C4B">
      <w:pPr>
        <w:rPr>
          <w:rFonts w:ascii="Arial" w:hAnsi="Arial" w:cs="Arial"/>
          <w:b/>
          <w:sz w:val="18"/>
          <w:szCs w:val="18"/>
        </w:rPr>
      </w:pPr>
    </w:p>
    <w:p w:rsidR="00A77C4B" w:rsidRDefault="00A77C4B">
      <w:pPr>
        <w:jc w:val="center"/>
        <w:rPr>
          <w:rFonts w:ascii="Arial" w:hAnsi="Arial" w:cs="Arial"/>
          <w:sz w:val="20"/>
          <w:szCs w:val="20"/>
        </w:rPr>
      </w:pPr>
    </w:p>
    <w:p w:rsidR="00A77C4B" w:rsidRDefault="00A77C4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6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14181"/>
      </w:tblGrid>
      <w:tr w:rsidR="00A77C4B">
        <w:tblPrEx>
          <w:tblCellMar>
            <w:top w:w="0" w:type="dxa"/>
            <w:bottom w:w="0" w:type="dxa"/>
          </w:tblCellMar>
        </w:tblPrEx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4B" w:rsidRDefault="0070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Nª</w:t>
            </w:r>
          </w:p>
        </w:tc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4B" w:rsidRDefault="0070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DE FACTURAS E INFORMES</w:t>
            </w:r>
          </w:p>
        </w:tc>
      </w:tr>
      <w:tr w:rsidR="00A77C4B">
        <w:tblPrEx>
          <w:tblCellMar>
            <w:top w:w="0" w:type="dxa"/>
            <w:bottom w:w="0" w:type="dxa"/>
          </w:tblCellMar>
        </w:tblPrEx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4B" w:rsidRDefault="0070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4B" w:rsidRDefault="007033BF">
            <w:pPr>
              <w:widowControl w:val="0"/>
              <w:rPr>
                <w:rFonts w:eastAsia="SimSu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zh-CN"/>
              </w:rPr>
              <w:t>http://transparencia.fiprodefo.org.mx/Gloria/058.pdf</w:t>
            </w:r>
          </w:p>
        </w:tc>
      </w:tr>
      <w:tr w:rsidR="00A77C4B">
        <w:tblPrEx>
          <w:tblCellMar>
            <w:top w:w="0" w:type="dxa"/>
            <w:bottom w:w="0" w:type="dxa"/>
          </w:tblCellMar>
        </w:tblPrEx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4B" w:rsidRDefault="0070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4B" w:rsidRDefault="007033BF">
            <w:pPr>
              <w:widowControl w:val="0"/>
              <w:rPr>
                <w:rFonts w:eastAsia="SimSu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zh-CN"/>
              </w:rPr>
              <w:t>http://transparencia.fiprodefo.org.mx/Gloria/058-1.pdf</w:t>
            </w:r>
          </w:p>
        </w:tc>
      </w:tr>
      <w:tr w:rsidR="00A77C4B">
        <w:tblPrEx>
          <w:tblCellMar>
            <w:top w:w="0" w:type="dxa"/>
            <w:bottom w:w="0" w:type="dxa"/>
          </w:tblCellMar>
        </w:tblPrEx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4B" w:rsidRDefault="00A77C4B">
            <w:pPr>
              <w:widowControl w:val="0"/>
              <w:rPr>
                <w:rFonts w:eastAsia="SimSu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4B" w:rsidRDefault="00A77C4B"/>
        </w:tc>
      </w:tr>
    </w:tbl>
    <w:p w:rsidR="00A77C4B" w:rsidRDefault="00A77C4B">
      <w:pPr>
        <w:jc w:val="center"/>
        <w:rPr>
          <w:rFonts w:ascii="Arial" w:hAnsi="Arial" w:cs="Arial"/>
          <w:sz w:val="20"/>
          <w:szCs w:val="20"/>
        </w:rPr>
      </w:pPr>
    </w:p>
    <w:p w:rsidR="00A77C4B" w:rsidRDefault="00A77C4B">
      <w:pPr>
        <w:jc w:val="center"/>
        <w:rPr>
          <w:rFonts w:ascii="Arial" w:hAnsi="Arial" w:cs="Arial"/>
          <w:sz w:val="20"/>
          <w:szCs w:val="20"/>
        </w:rPr>
      </w:pPr>
    </w:p>
    <w:sectPr w:rsidR="00A77C4B">
      <w:headerReference w:type="default" r:id="rId7"/>
      <w:footerReference w:type="default" r:id="rId8"/>
      <w:endnotePr>
        <w:numFmt w:val="decimal"/>
      </w:endnotePr>
      <w:pgSz w:w="15840" w:h="12240" w:orient="landscape"/>
      <w:pgMar w:top="2268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3BF" w:rsidRDefault="007033BF">
      <w:r>
        <w:separator/>
      </w:r>
    </w:p>
  </w:endnote>
  <w:endnote w:type="continuationSeparator" w:id="0">
    <w:p w:rsidR="007033BF" w:rsidRDefault="0070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C4B" w:rsidRDefault="007033BF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3BF" w:rsidRDefault="007033BF">
      <w:r>
        <w:separator/>
      </w:r>
    </w:p>
  </w:footnote>
  <w:footnote w:type="continuationSeparator" w:id="0">
    <w:p w:rsidR="007033BF" w:rsidRDefault="0070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C4B" w:rsidRDefault="007033BF">
    <w:pPr>
      <w:pStyle w:val="Ttulo"/>
      <w:ind w:left="284"/>
      <w:rPr>
        <w:rFonts w:ascii="Calibri Light" w:hAnsi="Calibri Light" w:cs="Arial Narrow"/>
        <w:sz w:val="28"/>
        <w:szCs w:val="28"/>
        <w:lang w:val="es-MX"/>
      </w:rPr>
    </w:pPr>
    <w:r>
      <w:drawing>
        <wp:anchor distT="0" distB="0" distL="114300" distR="114300" simplePos="0" relativeHeight="251659265" behindDoc="0" locked="0" layoutInCell="0" hidden="0" allowOverlap="1">
          <wp:simplePos x="0" y="0"/>
          <wp:positionH relativeFrom="column">
            <wp:posOffset>0</wp:posOffset>
          </wp:positionH>
          <wp:positionV relativeFrom="paragraph">
            <wp:posOffset>-154940</wp:posOffset>
          </wp:positionV>
          <wp:extent cx="838200" cy="825500"/>
          <wp:effectExtent l="0" t="0" r="0" b="0"/>
          <wp:wrapSquare wrapText="bothSides"/>
          <wp:docPr id="1025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n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KxBZ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IIAADAAAAAAAAAAAAAAAAIAAAAAAAAAAAAAAAIAAAAM////KAUAABQFAAAAAAAA0AIAANEB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8255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Arial Narrow"/>
        <w:sz w:val="28"/>
        <w:szCs w:val="28"/>
        <w:lang w:val="es-MX"/>
      </w:rPr>
      <w:t xml:space="preserve">                  FIDEICOMISO PARA LA ADMINSITRACION DEL PROGRAMA DE DESARROLLO FORESTAL DEL ESTADO DE JALISCO</w:t>
    </w:r>
  </w:p>
  <w:p w:rsidR="00A77C4B" w:rsidRDefault="007033BF">
    <w:pPr>
      <w:pStyle w:val="Ttulo"/>
    </w:pPr>
    <w:r>
      <w:rPr>
        <w:rFonts w:ascii="Calibri Light" w:hAnsi="Calibri Light" w:cs="Arial Narrow"/>
        <w:sz w:val="28"/>
        <w:szCs w:val="28"/>
      </w:rPr>
      <w:t>VIAJES OFICIALES 2018</w:t>
    </w:r>
    <w:r>
      <w:rPr>
        <w:rFonts w:ascii="Arial Narrow" w:hAnsi="Arial Narrow" w:cs="Arial Narrow"/>
        <w:sz w:val="28"/>
        <w:szCs w:val="28"/>
      </w:rPr>
      <w:t>.</w:t>
    </w:r>
  </w:p>
  <w:p w:rsidR="00A77C4B" w:rsidRDefault="007033BF">
    <w:pPr>
      <w:pStyle w:val="Encabezado"/>
      <w:tabs>
        <w:tab w:val="clear" w:pos="4419"/>
        <w:tab w:val="clear" w:pos="8838"/>
        <w:tab w:val="center" w:pos="7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87C04"/>
    <w:multiLevelType w:val="hybridMultilevel"/>
    <w:tmpl w:val="08446616"/>
    <w:lvl w:ilvl="0" w:tplc="B1441F4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320D1C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3ACAEC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404BAD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4CEAA1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CEA22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027F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6BEF84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CEC3B2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4B"/>
    <w:rsid w:val="0008062B"/>
    <w:rsid w:val="007033BF"/>
    <w:rsid w:val="00A7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78F34-7CFB-4FF0-A3D7-30F65706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noProof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paragraph" w:customStyle="1" w:styleId="CommentText">
    <w:name w:val="Comment Text"/>
    <w:basedOn w:val="Normal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tuloCar">
    <w:name w:val="Título Car"/>
    <w:rPr>
      <w:rFonts w:ascii="Times New Roman" w:eastAsia="Times New Roman" w:hAnsi="Times New Roman" w:cs="Times New Roman"/>
      <w:b/>
      <w:bCs/>
      <w:sz w:val="32"/>
      <w:szCs w:val="32"/>
      <w:lang w:eastAsia="es-ES"/>
    </w:rPr>
  </w:style>
  <w:style w:type="character" w:customStyle="1" w:styleId="PiedepginaCar">
    <w:name w:val="Pie de página Car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</w:style>
  <w:style w:type="character" w:customStyle="1" w:styleId="b1">
    <w:name w:val="b1"/>
    <w:rPr>
      <w:color w:val="000000"/>
    </w:rPr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kern w:val="1"/>
      <w:sz w:val="32"/>
      <w:szCs w:val="32"/>
      <w:lang w:val="es-ES" w:eastAsia="es-ES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/>
      <w:lang w:val="es-ES" w:eastAsia="es-ES"/>
    </w:rPr>
  </w:style>
  <w:style w:type="character" w:customStyle="1" w:styleId="AsuntodelcomentarioCar">
    <w:name w:val="Asunto del comentario Car"/>
    <w:rPr>
      <w:rFonts w:ascii="Times New Roman" w:eastAsia="Times New Roman" w:hAnsi="Times New Roman"/>
      <w:b/>
      <w:bCs/>
      <w:lang w:val="es-ES" w:eastAsia="es-ES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rPr>
      <w:color w:val="auto"/>
      <w:u w:val="single"/>
    </w:rPr>
  </w:style>
  <w:style w:type="character" w:styleId="Hipervnculovisitado">
    <w:name w:val="FollowedHyperlink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Cambri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Neftali Haro</dc:creator>
  <cp:keywords/>
  <dc:description/>
  <cp:lastModifiedBy>Usuario de Windows</cp:lastModifiedBy>
  <cp:revision>2</cp:revision>
  <cp:lastPrinted>2018-03-01T19:23:00Z</cp:lastPrinted>
  <dcterms:created xsi:type="dcterms:W3CDTF">2019-10-30T20:35:00Z</dcterms:created>
  <dcterms:modified xsi:type="dcterms:W3CDTF">2019-10-30T20:35:00Z</dcterms:modified>
</cp:coreProperties>
</file>